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9FADF" w14:textId="1F372CB2" w:rsidR="00DC5612" w:rsidRPr="00DC5612" w:rsidRDefault="00DC5612" w:rsidP="00DC5612">
      <w:pPr>
        <w:spacing w:line="281" w:lineRule="auto"/>
        <w:jc w:val="both"/>
        <w:rPr>
          <w:rFonts w:ascii="Arial" w:hAnsi="Arial" w:cs="Arial"/>
          <w:i/>
          <w:sz w:val="18"/>
          <w:szCs w:val="18"/>
          <w:lang w:val="en-US"/>
        </w:rPr>
      </w:pPr>
      <w:r w:rsidRPr="00DC5612">
        <w:rPr>
          <w:rFonts w:ascii="Arial" w:hAnsi="Arial" w:cs="Arial"/>
          <w:i/>
          <w:sz w:val="18"/>
          <w:szCs w:val="18"/>
          <w:lang w:val="en-US"/>
        </w:rPr>
        <w:t>World premiere: CTX 350</w:t>
      </w:r>
    </w:p>
    <w:p w14:paraId="61D9FA60" w14:textId="6887A8C1" w:rsidR="00DC5612" w:rsidRPr="00DC5612" w:rsidRDefault="00DC5612" w:rsidP="00DC5612">
      <w:pPr>
        <w:spacing w:line="281" w:lineRule="auto"/>
        <w:jc w:val="both"/>
        <w:rPr>
          <w:rFonts w:ascii="Arial" w:hAnsi="Arial" w:cs="Arial"/>
          <w:b/>
          <w:sz w:val="24"/>
          <w:lang w:val="en-US"/>
        </w:rPr>
      </w:pPr>
      <w:r w:rsidRPr="00DC5612">
        <w:rPr>
          <w:rFonts w:ascii="Arial" w:hAnsi="Arial" w:cs="Arial"/>
          <w:b/>
          <w:sz w:val="24"/>
          <w:lang w:val="en-US"/>
        </w:rPr>
        <w:t xml:space="preserve">Attractive price and high-quality equipment </w:t>
      </w:r>
      <w:r>
        <w:rPr>
          <w:rFonts w:ascii="Arial" w:hAnsi="Arial" w:cs="Arial"/>
          <w:b/>
          <w:sz w:val="24"/>
          <w:lang w:val="en-US"/>
        </w:rPr>
        <w:t>–</w:t>
      </w:r>
      <w:r w:rsidRPr="00DC5612">
        <w:rPr>
          <w:rFonts w:ascii="Arial" w:hAnsi="Arial" w:cs="Arial"/>
          <w:b/>
          <w:sz w:val="24"/>
          <w:lang w:val="en-US"/>
        </w:rPr>
        <w:t xml:space="preserve"> the new CTX 350 </w:t>
      </w:r>
      <w:proofErr w:type="gramStart"/>
      <w:r w:rsidRPr="00DC5612">
        <w:rPr>
          <w:rFonts w:ascii="Arial" w:hAnsi="Arial" w:cs="Arial"/>
          <w:b/>
          <w:sz w:val="24"/>
          <w:lang w:val="en-US"/>
        </w:rPr>
        <w:t>combines</w:t>
      </w:r>
      <w:proofErr w:type="gramEnd"/>
      <w:r w:rsidRPr="00DC5612">
        <w:rPr>
          <w:rFonts w:ascii="Arial" w:hAnsi="Arial" w:cs="Arial"/>
          <w:b/>
          <w:sz w:val="24"/>
          <w:lang w:val="en-US"/>
        </w:rPr>
        <w:t xml:space="preserve"> the best of the CLX and CTX alpha series in universal turning.</w:t>
      </w:r>
    </w:p>
    <w:p w14:paraId="02672C04" w14:textId="77777777" w:rsidR="00DC5612" w:rsidRPr="00DC5612" w:rsidRDefault="00DC5612" w:rsidP="00DC5612">
      <w:pPr>
        <w:spacing w:line="281" w:lineRule="auto"/>
        <w:jc w:val="both"/>
        <w:rPr>
          <w:rFonts w:ascii="Arial" w:hAnsi="Arial" w:cs="Arial"/>
          <w:lang w:val="en-US"/>
        </w:rPr>
      </w:pPr>
    </w:p>
    <w:p w14:paraId="4B104196" w14:textId="77777777" w:rsidR="00DC5612" w:rsidRPr="00D814D1" w:rsidRDefault="00DC5612" w:rsidP="00DC5612">
      <w:pPr>
        <w:spacing w:line="280" w:lineRule="auto"/>
        <w:jc w:val="both"/>
        <w:rPr>
          <w:rFonts w:ascii="Arial" w:hAnsi="Arial" w:cs="Arial"/>
          <w:b/>
          <w:sz w:val="28"/>
          <w:lang w:val="en-US"/>
        </w:rPr>
      </w:pPr>
      <w:r w:rsidRPr="00D814D1">
        <w:rPr>
          <w:rFonts w:ascii="Arial" w:hAnsi="Arial" w:cs="Arial"/>
          <w:b/>
          <w:sz w:val="28"/>
          <w:lang w:val="en-US"/>
        </w:rPr>
        <w:t>Universal turning with state-of-the-art equipment</w:t>
      </w:r>
    </w:p>
    <w:p w14:paraId="49B0F0CF" w14:textId="77777777" w:rsidR="00DC5612" w:rsidRPr="00DC5612" w:rsidRDefault="00DC5612" w:rsidP="00DC5612">
      <w:pPr>
        <w:spacing w:line="281" w:lineRule="auto"/>
        <w:jc w:val="both"/>
        <w:rPr>
          <w:rFonts w:ascii="Arial" w:hAnsi="Arial" w:cs="Arial"/>
          <w:lang w:val="en-US"/>
        </w:rPr>
      </w:pPr>
    </w:p>
    <w:p w14:paraId="24131376" w14:textId="34735BE0" w:rsidR="00DC5612" w:rsidRDefault="00DC5612" w:rsidP="00DC5612">
      <w:pPr>
        <w:spacing w:line="281" w:lineRule="auto"/>
        <w:jc w:val="both"/>
        <w:rPr>
          <w:rFonts w:ascii="Arial" w:hAnsi="Arial" w:cs="Arial"/>
          <w:i/>
          <w:lang w:val="en-US"/>
        </w:rPr>
      </w:pPr>
      <w:r w:rsidRPr="00D814D1">
        <w:rPr>
          <w:rFonts w:ascii="Arial" w:hAnsi="Arial" w:cs="Arial"/>
          <w:i/>
          <w:lang w:val="en-US"/>
        </w:rPr>
        <w:t xml:space="preserve">DMG MORI is positioning the new CTX 350 universal turning machine as the successor model to both the CLX 350 and the CTX alpha 500. </w:t>
      </w:r>
      <w:r w:rsidRPr="00DC5612">
        <w:rPr>
          <w:rFonts w:ascii="Arial" w:hAnsi="Arial" w:cs="Arial"/>
          <w:i/>
          <w:lang w:val="en-US"/>
        </w:rPr>
        <w:t xml:space="preserve">The world premiere consistently combines the best of both series </w:t>
      </w:r>
      <w:r>
        <w:rPr>
          <w:rFonts w:ascii="Arial" w:hAnsi="Arial" w:cs="Arial"/>
          <w:i/>
          <w:lang w:val="en-US"/>
        </w:rPr>
        <w:t>–</w:t>
      </w:r>
      <w:r w:rsidRPr="00DC5612">
        <w:rPr>
          <w:rFonts w:ascii="Arial" w:hAnsi="Arial" w:cs="Arial"/>
          <w:i/>
          <w:lang w:val="en-US"/>
        </w:rPr>
        <w:t xml:space="preserve"> the price level of the CLX series and the performance and equipment diversity of the CTX alpha machines. </w:t>
      </w:r>
      <w:r w:rsidRPr="00D814D1">
        <w:rPr>
          <w:rFonts w:ascii="Arial" w:hAnsi="Arial" w:cs="Arial"/>
          <w:i/>
          <w:lang w:val="en-US"/>
        </w:rPr>
        <w:t>These include a dynamic, precise C-axis, a VDI30 turret and a main spindle with energy-efficient synchronous motor that achieves a speed of 5,500 min</w:t>
      </w:r>
      <w:r w:rsidRPr="00D814D1">
        <w:rPr>
          <w:rFonts w:ascii="Arial" w:hAnsi="Arial" w:cs="Arial"/>
          <w:i/>
          <w:vertAlign w:val="superscript"/>
          <w:lang w:val="en-US"/>
        </w:rPr>
        <w:t>-1</w:t>
      </w:r>
      <w:r w:rsidRPr="00D814D1">
        <w:rPr>
          <w:rFonts w:ascii="Arial" w:hAnsi="Arial" w:cs="Arial"/>
          <w:i/>
          <w:lang w:val="en-US"/>
        </w:rPr>
        <w:t>. Optional equipment variants include a Y-axis with +/- 50 mm, a tailstock, a counter spindle with 6,000 min</w:t>
      </w:r>
      <w:r w:rsidRPr="00D814D1">
        <w:rPr>
          <w:rFonts w:ascii="Arial" w:hAnsi="Arial" w:cs="Arial"/>
          <w:i/>
          <w:vertAlign w:val="superscript"/>
          <w:lang w:val="en-US"/>
        </w:rPr>
        <w:t>-1</w:t>
      </w:r>
      <w:r w:rsidRPr="00D814D1">
        <w:rPr>
          <w:rFonts w:ascii="Arial" w:hAnsi="Arial" w:cs="Arial"/>
          <w:i/>
          <w:lang w:val="en-US"/>
        </w:rPr>
        <w:t xml:space="preserve"> speed and a chip conveyor. On the control side, DMG MORI installs either SIEMENS or FANUC. Intelligent automation solutions for autonomous loading and unloading complete the modular system around the CTX 350.</w:t>
      </w:r>
    </w:p>
    <w:p w14:paraId="48986A2E" w14:textId="1A2E3D55" w:rsidR="005401A3" w:rsidRDefault="005401A3" w:rsidP="00DC5612">
      <w:pPr>
        <w:spacing w:line="281" w:lineRule="auto"/>
        <w:jc w:val="both"/>
        <w:rPr>
          <w:rFonts w:ascii="Arial" w:hAnsi="Arial" w:cs="Arial"/>
          <w:i/>
          <w:lang w:val="en-US"/>
        </w:rPr>
      </w:pPr>
    </w:p>
    <w:p w14:paraId="7AF39874" w14:textId="77777777" w:rsidR="005401A3" w:rsidRDefault="005401A3" w:rsidP="00DC5612">
      <w:pPr>
        <w:spacing w:line="281" w:lineRule="auto"/>
        <w:jc w:val="both"/>
        <w:rPr>
          <w:rFonts w:ascii="Arial" w:hAnsi="Arial" w:cs="Arial"/>
          <w:i/>
          <w:lang w:val="en-US"/>
        </w:rPr>
      </w:pPr>
    </w:p>
    <w:p w14:paraId="04E425C3" w14:textId="77777777" w:rsidR="00244D47" w:rsidRDefault="00244D47" w:rsidP="00244D47">
      <w:pPr>
        <w:spacing w:line="281" w:lineRule="auto"/>
        <w:jc w:val="center"/>
        <w:rPr>
          <w:rFonts w:ascii="Arial" w:hAnsi="Arial" w:cs="Arial"/>
          <w:lang w:val="de-DE"/>
        </w:rPr>
      </w:pPr>
      <w:r w:rsidRPr="00E7492D">
        <w:rPr>
          <w:rFonts w:ascii="Arial" w:hAnsi="Arial" w:cs="Arial"/>
          <w:noProof/>
          <w:lang w:val="de-DE"/>
        </w:rPr>
        <w:drawing>
          <wp:inline distT="0" distB="0" distL="0" distR="0" wp14:anchorId="11B9F607" wp14:editId="262018B3">
            <wp:extent cx="4706007" cy="2981741"/>
            <wp:effectExtent l="0" t="0" r="0" b="9525"/>
            <wp:docPr id="9" name="Grafik 9" descr="Ein Bild, das Drucker, Elektron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Drucker, Elektronik enthält.&#10;&#10;Automatisch generierte Beschreibung"/>
                    <pic:cNvPicPr/>
                  </pic:nvPicPr>
                  <pic:blipFill>
                    <a:blip r:embed="rId8"/>
                    <a:stretch>
                      <a:fillRect/>
                    </a:stretch>
                  </pic:blipFill>
                  <pic:spPr>
                    <a:xfrm>
                      <a:off x="0" y="0"/>
                      <a:ext cx="4706007" cy="2981741"/>
                    </a:xfrm>
                    <a:prstGeom prst="rect">
                      <a:avLst/>
                    </a:prstGeom>
                  </pic:spPr>
                </pic:pic>
              </a:graphicData>
            </a:graphic>
          </wp:inline>
        </w:drawing>
      </w:r>
    </w:p>
    <w:p w14:paraId="3F894F74" w14:textId="77777777" w:rsidR="00244D47" w:rsidRPr="00244D47" w:rsidRDefault="00244D47" w:rsidP="00244D47">
      <w:pPr>
        <w:spacing w:line="281" w:lineRule="auto"/>
        <w:jc w:val="center"/>
        <w:rPr>
          <w:rFonts w:ascii="Arial" w:hAnsi="Arial" w:cs="Arial"/>
          <w:i/>
          <w:iCs/>
          <w:lang w:val="en-US"/>
        </w:rPr>
      </w:pPr>
      <w:r w:rsidRPr="00244D47">
        <w:rPr>
          <w:rFonts w:ascii="Arial" w:hAnsi="Arial" w:cs="Arial"/>
          <w:i/>
          <w:iCs/>
          <w:lang w:val="en-US"/>
        </w:rPr>
        <w:t>The CTX 350 combines an affordable price with high-quality equipment in universal turning. Depending on the equipment variant, the CTX 350 is also available with Y-axis and counter spindle.</w:t>
      </w:r>
    </w:p>
    <w:p w14:paraId="21ACFFF5" w14:textId="77777777" w:rsidR="00244D47" w:rsidRPr="00D814D1" w:rsidRDefault="00244D47" w:rsidP="00DC5612">
      <w:pPr>
        <w:spacing w:line="281" w:lineRule="auto"/>
        <w:jc w:val="both"/>
        <w:rPr>
          <w:rFonts w:ascii="Arial" w:hAnsi="Arial" w:cs="Arial"/>
          <w:i/>
          <w:lang w:val="en-US"/>
        </w:rPr>
      </w:pPr>
    </w:p>
    <w:p w14:paraId="0ADE5CAE" w14:textId="77777777" w:rsidR="00DC5612" w:rsidRPr="00DC5612" w:rsidRDefault="00DC5612" w:rsidP="00DC5612">
      <w:pPr>
        <w:spacing w:line="281" w:lineRule="auto"/>
        <w:jc w:val="both"/>
        <w:rPr>
          <w:rFonts w:ascii="Arial" w:hAnsi="Arial" w:cs="Arial"/>
          <w:lang w:val="en-US"/>
        </w:rPr>
      </w:pPr>
    </w:p>
    <w:p w14:paraId="3DE82DC9" w14:textId="77777777" w:rsidR="005401A3" w:rsidRDefault="005401A3" w:rsidP="00DC5612">
      <w:pPr>
        <w:spacing w:line="281" w:lineRule="auto"/>
        <w:jc w:val="both"/>
        <w:rPr>
          <w:rFonts w:ascii="Arial" w:hAnsi="Arial" w:cs="Arial"/>
          <w:lang w:val="en-US"/>
        </w:rPr>
      </w:pPr>
    </w:p>
    <w:p w14:paraId="71CDBA36" w14:textId="77777777" w:rsidR="005401A3" w:rsidRDefault="005401A3" w:rsidP="00DC5612">
      <w:pPr>
        <w:spacing w:line="281" w:lineRule="auto"/>
        <w:jc w:val="both"/>
        <w:rPr>
          <w:rFonts w:ascii="Arial" w:hAnsi="Arial" w:cs="Arial"/>
          <w:lang w:val="en-US"/>
        </w:rPr>
      </w:pPr>
    </w:p>
    <w:p w14:paraId="1612EF4C" w14:textId="77777777" w:rsidR="005401A3" w:rsidRDefault="005401A3" w:rsidP="00DC5612">
      <w:pPr>
        <w:spacing w:line="281" w:lineRule="auto"/>
        <w:jc w:val="both"/>
        <w:rPr>
          <w:rFonts w:ascii="Arial" w:hAnsi="Arial" w:cs="Arial"/>
          <w:lang w:val="en-US"/>
        </w:rPr>
      </w:pPr>
    </w:p>
    <w:p w14:paraId="0F962547" w14:textId="7C6DA9AB" w:rsidR="00DC5612" w:rsidRPr="00DC5612" w:rsidRDefault="00DC5612" w:rsidP="00DC5612">
      <w:pPr>
        <w:spacing w:line="281" w:lineRule="auto"/>
        <w:jc w:val="both"/>
        <w:rPr>
          <w:rFonts w:ascii="Arial" w:hAnsi="Arial" w:cs="Arial"/>
          <w:lang w:val="en-US"/>
        </w:rPr>
      </w:pPr>
      <w:r w:rsidRPr="00DC5612">
        <w:rPr>
          <w:rFonts w:ascii="Arial" w:hAnsi="Arial" w:cs="Arial"/>
          <w:lang w:val="en-US"/>
        </w:rPr>
        <w:lastRenderedPageBreak/>
        <w:t>Its versatility makes the CTX 350 a valuable universal turning center in any production environment. Compared to the previous models, DMG MORI has been able to increase the working area while maintaining the same footprint of around 8 m². A bar passage with ø 65 mm, a chuck with ø 120 mm diameter and a turning length of up to 540 mm depending on the equipment variant allow machining of a wide range of components. The turning diameter is ø 320 mm. The turret provides space for twelve driven VDI30 tools. Their speed is 6,000 min</w:t>
      </w:r>
      <w:r w:rsidRPr="00DC5612">
        <w:rPr>
          <w:rFonts w:ascii="Arial" w:hAnsi="Arial" w:cs="Arial"/>
          <w:vertAlign w:val="superscript"/>
          <w:lang w:val="en-US"/>
        </w:rPr>
        <w:t>-1</w:t>
      </w:r>
      <w:r w:rsidRPr="00DC5612">
        <w:rPr>
          <w:rFonts w:ascii="Arial" w:hAnsi="Arial" w:cs="Arial"/>
          <w:lang w:val="en-US"/>
        </w:rPr>
        <w:t>, optionally up to 12,000 min</w:t>
      </w:r>
      <w:r w:rsidRPr="00DC5612">
        <w:rPr>
          <w:rFonts w:ascii="Arial" w:hAnsi="Arial" w:cs="Arial"/>
          <w:vertAlign w:val="superscript"/>
          <w:lang w:val="en-US"/>
        </w:rPr>
        <w:t>-1</w:t>
      </w:r>
      <w:r w:rsidRPr="00DC5612">
        <w:rPr>
          <w:rFonts w:ascii="Arial" w:hAnsi="Arial" w:cs="Arial"/>
          <w:lang w:val="en-US"/>
        </w:rPr>
        <w:t>. For the main spindle, DMG MORI uses an internal synchronous motor that is ten percent more efficient. The accuracy of the C-axis is due to a measuring system that is mounted on the front bearings and is therefore independent of small spindle deformations.</w:t>
      </w:r>
    </w:p>
    <w:p w14:paraId="53E1E956" w14:textId="77777777" w:rsidR="00DC5612" w:rsidRPr="00DC5612" w:rsidRDefault="00DC5612" w:rsidP="00DC5612">
      <w:pPr>
        <w:spacing w:line="281" w:lineRule="auto"/>
        <w:jc w:val="both"/>
        <w:rPr>
          <w:rFonts w:ascii="Arial" w:hAnsi="Arial" w:cs="Arial"/>
          <w:lang w:val="en-US"/>
        </w:rPr>
      </w:pPr>
    </w:p>
    <w:p w14:paraId="1CC159B1" w14:textId="77777777" w:rsidR="00DC5612" w:rsidRPr="00DC5612" w:rsidRDefault="00DC5612" w:rsidP="00DC5612">
      <w:pPr>
        <w:spacing w:line="281" w:lineRule="auto"/>
        <w:jc w:val="both"/>
        <w:rPr>
          <w:rFonts w:ascii="Arial" w:hAnsi="Arial" w:cs="Arial"/>
          <w:b/>
          <w:bCs/>
          <w:lang w:val="en-US"/>
        </w:rPr>
      </w:pPr>
      <w:r w:rsidRPr="00DC5612">
        <w:rPr>
          <w:rFonts w:ascii="Arial" w:hAnsi="Arial" w:cs="Arial"/>
          <w:b/>
          <w:bCs/>
          <w:lang w:val="en-US"/>
        </w:rPr>
        <w:t>Automation solutions from a single source</w:t>
      </w:r>
    </w:p>
    <w:p w14:paraId="409A9FC9" w14:textId="77777777" w:rsidR="00DC5612" w:rsidRPr="00DC5612" w:rsidRDefault="00DC5612" w:rsidP="00DC5612">
      <w:pPr>
        <w:spacing w:line="281" w:lineRule="auto"/>
        <w:jc w:val="both"/>
        <w:rPr>
          <w:rFonts w:ascii="Arial" w:hAnsi="Arial" w:cs="Arial"/>
          <w:lang w:val="en-US"/>
        </w:rPr>
      </w:pPr>
      <w:r w:rsidRPr="00DC5612">
        <w:rPr>
          <w:rFonts w:ascii="Arial" w:hAnsi="Arial" w:cs="Arial"/>
          <w:lang w:val="en-US"/>
        </w:rPr>
        <w:t>DMG MORI has also taken the importance of automated production into account for the CTX 350. An integrated robot for loading and unloading chuck parts is available for the universal turning center, or a likewise integrated unloading unit for shafts up to 500 mm long and ø 40 mm in diameter. Alternatively, the CTX 350 is also compatible with Robo2Go Turning, which brings additional flexibility to production automation.</w:t>
      </w:r>
    </w:p>
    <w:p w14:paraId="06F0BC9D" w14:textId="77777777" w:rsidR="00DC5612" w:rsidRPr="00DC5612" w:rsidRDefault="00DC5612" w:rsidP="00DC5612">
      <w:pPr>
        <w:spacing w:line="281" w:lineRule="auto"/>
        <w:jc w:val="both"/>
        <w:rPr>
          <w:rFonts w:ascii="Arial" w:hAnsi="Arial" w:cs="Arial"/>
          <w:lang w:val="en-US"/>
        </w:rPr>
      </w:pPr>
    </w:p>
    <w:p w14:paraId="5C80774D" w14:textId="77777777" w:rsidR="00DC5612" w:rsidRPr="00DC5612" w:rsidRDefault="00DC5612" w:rsidP="00DC5612">
      <w:pPr>
        <w:spacing w:line="281" w:lineRule="auto"/>
        <w:jc w:val="both"/>
        <w:rPr>
          <w:rFonts w:ascii="Arial" w:hAnsi="Arial" w:cs="Arial"/>
          <w:lang w:val="en-US"/>
        </w:rPr>
      </w:pPr>
    </w:p>
    <w:p w14:paraId="52F3E8ED" w14:textId="77777777" w:rsidR="00DC5612" w:rsidRPr="00DC5612" w:rsidRDefault="00DC5612" w:rsidP="00DC5612">
      <w:pPr>
        <w:spacing w:line="281" w:lineRule="auto"/>
        <w:jc w:val="both"/>
        <w:rPr>
          <w:rFonts w:ascii="Arial" w:hAnsi="Arial" w:cs="Arial"/>
          <w:lang w:val="en-US"/>
        </w:rPr>
      </w:pPr>
    </w:p>
    <w:sectPr w:rsidR="00DC5612" w:rsidRPr="00DC5612" w:rsidSect="00EE5D7D">
      <w:headerReference w:type="even" r:id="rId9"/>
      <w:headerReference w:type="default" r:id="rId10"/>
      <w:footerReference w:type="default" r:id="rId11"/>
      <w:headerReference w:type="first" r:id="rId12"/>
      <w:pgSz w:w="11900" w:h="16840"/>
      <w:pgMar w:top="2381" w:right="3082" w:bottom="1134" w:left="993"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408A5" w14:textId="77777777" w:rsidR="0044510A" w:rsidRDefault="0044510A" w:rsidP="00C0359A">
      <w:r>
        <w:separator/>
      </w:r>
    </w:p>
  </w:endnote>
  <w:endnote w:type="continuationSeparator" w:id="0">
    <w:p w14:paraId="2601A100" w14:textId="77777777" w:rsidR="0044510A" w:rsidRDefault="0044510A" w:rsidP="00C0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898235"/>
      <w:docPartObj>
        <w:docPartGallery w:val="Page Numbers (Bottom of Page)"/>
        <w:docPartUnique/>
      </w:docPartObj>
    </w:sdtPr>
    <w:sdtEndPr>
      <w:rPr>
        <w:rFonts w:ascii="Arial" w:hAnsi="Arial" w:cs="Arial"/>
        <w:sz w:val="18"/>
        <w:szCs w:val="18"/>
      </w:rPr>
    </w:sdtEndPr>
    <w:sdtContent>
      <w:p w14:paraId="6EDE317F" w14:textId="5941225F" w:rsidR="00EE5D7D" w:rsidRPr="00EE5D7D" w:rsidRDefault="00EE5D7D">
        <w:pPr>
          <w:pStyle w:val="Fuzeile"/>
          <w:jc w:val="right"/>
          <w:rPr>
            <w:rFonts w:ascii="Arial" w:hAnsi="Arial" w:cs="Arial"/>
            <w:sz w:val="18"/>
            <w:szCs w:val="18"/>
          </w:rPr>
        </w:pPr>
        <w:r w:rsidRPr="00EE5D7D">
          <w:rPr>
            <w:rFonts w:ascii="Arial" w:hAnsi="Arial" w:cs="Arial"/>
            <w:sz w:val="18"/>
            <w:szCs w:val="18"/>
          </w:rPr>
          <w:fldChar w:fldCharType="begin"/>
        </w:r>
        <w:r w:rsidRPr="00EE5D7D">
          <w:rPr>
            <w:rFonts w:ascii="Arial" w:hAnsi="Arial" w:cs="Arial"/>
            <w:sz w:val="18"/>
            <w:szCs w:val="18"/>
          </w:rPr>
          <w:instrText>PAGE   \* MERGEFORMAT</w:instrText>
        </w:r>
        <w:r w:rsidRPr="00EE5D7D">
          <w:rPr>
            <w:rFonts w:ascii="Arial" w:hAnsi="Arial" w:cs="Arial"/>
            <w:sz w:val="18"/>
            <w:szCs w:val="18"/>
          </w:rPr>
          <w:fldChar w:fldCharType="separate"/>
        </w:r>
        <w:r w:rsidR="0083421D" w:rsidRPr="0083421D">
          <w:rPr>
            <w:rFonts w:ascii="Arial" w:hAnsi="Arial" w:cs="Arial"/>
            <w:noProof/>
            <w:sz w:val="18"/>
            <w:szCs w:val="18"/>
            <w:lang w:val="de-DE"/>
          </w:rPr>
          <w:t>1</w:t>
        </w:r>
        <w:r w:rsidRPr="00EE5D7D">
          <w:rPr>
            <w:rFonts w:ascii="Arial" w:hAnsi="Arial" w:cs="Arial"/>
            <w:sz w:val="18"/>
            <w:szCs w:val="18"/>
          </w:rPr>
          <w:fldChar w:fldCharType="end"/>
        </w:r>
      </w:p>
    </w:sdtContent>
  </w:sdt>
  <w:p w14:paraId="095B4F9A" w14:textId="77777777" w:rsidR="00EE5D7D" w:rsidRDefault="00EE5D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53B33" w14:textId="77777777" w:rsidR="0044510A" w:rsidRDefault="0044510A" w:rsidP="00C0359A">
      <w:r>
        <w:separator/>
      </w:r>
    </w:p>
  </w:footnote>
  <w:footnote w:type="continuationSeparator" w:id="0">
    <w:p w14:paraId="185801BF" w14:textId="77777777" w:rsidR="0044510A" w:rsidRDefault="0044510A" w:rsidP="00C0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C2C0" w14:textId="77777777" w:rsidR="00C0359A" w:rsidRDefault="003F4A7F">
    <w:pPr>
      <w:pStyle w:val="Kopfzeile"/>
    </w:pPr>
    <w:r>
      <w:rPr>
        <w:noProof/>
        <w:lang w:val="de-DE" w:eastAsia="de-DE"/>
      </w:rPr>
      <w:drawing>
        <wp:anchor distT="0" distB="0" distL="114300" distR="114300" simplePos="0" relativeHeight="251671552" behindDoc="1" locked="0" layoutInCell="0" allowOverlap="1" wp14:anchorId="36375153" wp14:editId="0337A72F">
          <wp:simplePos x="0" y="0"/>
          <wp:positionH relativeFrom="margin">
            <wp:align>center</wp:align>
          </wp:positionH>
          <wp:positionV relativeFrom="margin">
            <wp:align>center</wp:align>
          </wp:positionV>
          <wp:extent cx="7560310" cy="10692130"/>
          <wp:effectExtent l="0" t="0" r="0" b="0"/>
          <wp:wrapNone/>
          <wp:docPr id="22" name="Grafik 22"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s/smartXpert/Dropbox/2017 pressGATE/DMG MORI Vorlagen/PM Vorlage UK 2017.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8480" behindDoc="1" locked="0" layoutInCell="0" allowOverlap="1" wp14:anchorId="09157B3D" wp14:editId="18257961">
          <wp:simplePos x="0" y="0"/>
          <wp:positionH relativeFrom="margin">
            <wp:align>center</wp:align>
          </wp:positionH>
          <wp:positionV relativeFrom="margin">
            <wp:align>center</wp:align>
          </wp:positionV>
          <wp:extent cx="7560310" cy="10692130"/>
          <wp:effectExtent l="0" t="0" r="0" b="0"/>
          <wp:wrapNone/>
          <wp:docPr id="23" name="Grafik 23"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s/smartXpert/Dropbox/2017 pressGATE/DMG MORI Vorlagen/PM Vorlage UK 2017.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5408" behindDoc="1" locked="0" layoutInCell="0" allowOverlap="1" wp14:anchorId="70AE3AC5" wp14:editId="67117F87">
          <wp:simplePos x="0" y="0"/>
          <wp:positionH relativeFrom="margin">
            <wp:align>center</wp:align>
          </wp:positionH>
          <wp:positionV relativeFrom="margin">
            <wp:align>center</wp:align>
          </wp:positionV>
          <wp:extent cx="7560310" cy="10692130"/>
          <wp:effectExtent l="0" t="0" r="0" b="0"/>
          <wp:wrapNone/>
          <wp:docPr id="24" name="Grafik 24" descr="/Users/smartXpert/Dropbox/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s/smartXpert/Dropbox/Team-Ordner „pressGATE GmbH“/DMG MORI Vorlagen/PM Vorlage UK.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25564C1D" wp14:editId="7AB2C7DA">
          <wp:simplePos x="0" y="0"/>
          <wp:positionH relativeFrom="margin">
            <wp:align>center</wp:align>
          </wp:positionH>
          <wp:positionV relativeFrom="margin">
            <wp:align>center</wp:align>
          </wp:positionV>
          <wp:extent cx="7560310" cy="10692130"/>
          <wp:effectExtent l="0" t="0" r="0" b="0"/>
          <wp:wrapNone/>
          <wp:docPr id="25" name="Grafik 25" descr="/Users/Ralph/Dropbox (pressGATE GmbH)/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Ralph/Dropbox (pressGATE GmbH)/Team-Ordner „pressGATE GmbH“/DMG MORI Vorlagen/PM Vorlage UK.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5401A3">
      <w:pict w14:anchorId="37A9F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PM Vorlage DE"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15778 1058 1714 1058 1687 1231 6012 1366 6012 1616 6066 1673 6339 1693 10800 1981 10800 2597 1714 2693 1714 2827 10800 2904 10800 20446 1687 20638 1687 21138 4108 21138 6638 21138 7345 21138 7726 21119 7726 21023 7073 20965 3917 20754 16322 20696 16404 20638 10773 20446 10800 2904 16377 2731 16377 2693 10773 2597 10800 1981 12677 1981 13901 1866 13874 1673 14935 1673 20512 1423 20485 1058 15778 1058">
          <v:imagedata r:id="rId5" o:title="PM Vorlage 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F251" w14:textId="34488539" w:rsidR="00C0359A" w:rsidRDefault="007C6CC3" w:rsidP="00C63B7F">
    <w:pPr>
      <w:pStyle w:val="Kopfzeile"/>
      <w:tabs>
        <w:tab w:val="clear" w:pos="4536"/>
        <w:tab w:val="clear" w:pos="9072"/>
        <w:tab w:val="center" w:pos="3898"/>
        <w:tab w:val="left" w:pos="5980"/>
      </w:tabs>
      <w:rPr>
        <w:lang w:val="de-DE"/>
      </w:rPr>
    </w:pPr>
    <w:r>
      <w:rPr>
        <w:noProof/>
        <w:lang w:val="de-DE" w:eastAsia="de-DE"/>
      </w:rPr>
      <w:drawing>
        <wp:anchor distT="0" distB="0" distL="114300" distR="114300" simplePos="0" relativeHeight="251673600" behindDoc="1" locked="0" layoutInCell="1" allowOverlap="0" wp14:anchorId="49E9B550" wp14:editId="5F184773">
          <wp:simplePos x="0" y="0"/>
          <wp:positionH relativeFrom="column">
            <wp:posOffset>-630555</wp:posOffset>
          </wp:positionH>
          <wp:positionV relativeFrom="paragraph">
            <wp:posOffset>-424815</wp:posOffset>
          </wp:positionV>
          <wp:extent cx="7593450" cy="10706764"/>
          <wp:effectExtent l="0" t="0" r="1270" b="0"/>
          <wp:wrapNone/>
          <wp:docPr id="26"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3450" cy="107067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78CF">
      <w:rPr>
        <w:lang w:val="de-DE"/>
      </w:rPr>
      <w:tab/>
    </w:r>
    <w:r w:rsidR="00C63B7F">
      <w:rPr>
        <w:lang w:val="de-DE"/>
      </w:rPr>
      <w:tab/>
    </w:r>
  </w:p>
  <w:p w14:paraId="2124B7C2" w14:textId="239B45C1" w:rsidR="007C6CC3" w:rsidRPr="007C6CC3" w:rsidRDefault="00FB1B61" w:rsidP="00FB1B61">
    <w:pPr>
      <w:pStyle w:val="Kopfzeile"/>
      <w:tabs>
        <w:tab w:val="clear" w:pos="4536"/>
        <w:tab w:val="clear" w:pos="9072"/>
        <w:tab w:val="left" w:pos="5980"/>
      </w:tabs>
      <w:rPr>
        <w:lang w:val="de-DE"/>
      </w:rPr>
    </w:pPr>
    <w:r>
      <w:rPr>
        <w:lang w:val="de-D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14CD" w14:textId="77777777" w:rsidR="00C0359A" w:rsidRDefault="003F4A7F">
    <w:pPr>
      <w:pStyle w:val="Kopfzeile"/>
    </w:pPr>
    <w:r>
      <w:rPr>
        <w:noProof/>
        <w:lang w:val="de-DE" w:eastAsia="de-DE"/>
      </w:rPr>
      <w:drawing>
        <wp:anchor distT="0" distB="0" distL="114300" distR="114300" simplePos="0" relativeHeight="251672576" behindDoc="1" locked="0" layoutInCell="0" allowOverlap="1" wp14:anchorId="6719E1B4" wp14:editId="66F4A3DC">
          <wp:simplePos x="0" y="0"/>
          <wp:positionH relativeFrom="margin">
            <wp:align>center</wp:align>
          </wp:positionH>
          <wp:positionV relativeFrom="margin">
            <wp:align>center</wp:align>
          </wp:positionV>
          <wp:extent cx="7560310" cy="10692130"/>
          <wp:effectExtent l="0" t="0" r="0" b="0"/>
          <wp:wrapNone/>
          <wp:docPr id="27" name="Grafik 27"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ers/smartXpert/Dropbox/2017 pressGATE/DMG MORI Vorlagen/PM Vorlage UK 2017.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9504" behindDoc="1" locked="0" layoutInCell="0" allowOverlap="1" wp14:anchorId="523F1739" wp14:editId="596AB98D">
          <wp:simplePos x="0" y="0"/>
          <wp:positionH relativeFrom="margin">
            <wp:align>center</wp:align>
          </wp:positionH>
          <wp:positionV relativeFrom="margin">
            <wp:align>center</wp:align>
          </wp:positionV>
          <wp:extent cx="7560310" cy="10692130"/>
          <wp:effectExtent l="0" t="0" r="0" b="0"/>
          <wp:wrapNone/>
          <wp:docPr id="28" name="Grafik 28"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smartXpert/Dropbox/2017 pressGATE/DMG MORI Vorlagen/PM Vorlage UK 2017.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6432" behindDoc="1" locked="0" layoutInCell="0" allowOverlap="1" wp14:anchorId="6E5D39E0" wp14:editId="0982368C">
          <wp:simplePos x="0" y="0"/>
          <wp:positionH relativeFrom="margin">
            <wp:align>center</wp:align>
          </wp:positionH>
          <wp:positionV relativeFrom="margin">
            <wp:align>center</wp:align>
          </wp:positionV>
          <wp:extent cx="7560310" cy="10692130"/>
          <wp:effectExtent l="0" t="0" r="0" b="0"/>
          <wp:wrapNone/>
          <wp:docPr id="29" name="Grafik 29" descr="/Users/smartXpert/Dropbox/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smartXpert/Dropbox/Team-Ordner „pressGATE GmbH“/DMG MORI Vorlagen/PM Vorlage UK.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3360" behindDoc="1" locked="0" layoutInCell="1" allowOverlap="1" wp14:anchorId="63734930" wp14:editId="58CB9658">
          <wp:simplePos x="0" y="0"/>
          <wp:positionH relativeFrom="margin">
            <wp:align>center</wp:align>
          </wp:positionH>
          <wp:positionV relativeFrom="margin">
            <wp:align>center</wp:align>
          </wp:positionV>
          <wp:extent cx="7560310" cy="10692130"/>
          <wp:effectExtent l="0" t="0" r="0" b="0"/>
          <wp:wrapNone/>
          <wp:docPr id="30" name="Grafik 30" descr="/Users/Ralph/Dropbox (pressGATE GmbH)/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Ralph/Dropbox (pressGATE GmbH)/Team-Ordner „pressGATE GmbH“/DMG MORI Vorlagen/PM Vorlage UK.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5401A3">
      <w:pict w14:anchorId="15539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PM Vorlage DE"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15778 1058 1714 1058 1687 1231 6012 1366 6012 1616 6066 1673 6339 1693 10800 1981 10800 2597 1714 2693 1714 2827 10800 2904 10800 20446 1687 20638 1687 21138 4108 21138 6638 21138 7345 21138 7726 21119 7726 21023 7073 20965 3917 20754 16322 20696 16404 20638 10773 20446 10800 2904 16377 2731 16377 2693 10773 2597 10800 1981 12677 1981 13901 1866 13874 1673 14935 1673 20512 1423 20485 1058 15778 1058">
          <v:imagedata r:id="rId5" o:title="PM Vorlage 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EF7"/>
    <w:multiLevelType w:val="hybridMultilevel"/>
    <w:tmpl w:val="BBD42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781D41"/>
    <w:multiLevelType w:val="hybridMultilevel"/>
    <w:tmpl w:val="13DE9E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B349F0"/>
    <w:multiLevelType w:val="hybridMultilevel"/>
    <w:tmpl w:val="88CC7F4E"/>
    <w:lvl w:ilvl="0" w:tplc="620E0CC0">
      <w:numFmt w:val="bullet"/>
      <w:lvlText w:val="-"/>
      <w:lvlJc w:val="left"/>
      <w:pPr>
        <w:ind w:left="720" w:hanging="360"/>
      </w:pPr>
      <w:rPr>
        <w:rFonts w:ascii="Arial" w:eastAsia="MS Mincho"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860090"/>
    <w:multiLevelType w:val="hybridMultilevel"/>
    <w:tmpl w:val="12524352"/>
    <w:lvl w:ilvl="0" w:tplc="56AC6E04">
      <w:numFmt w:val="bullet"/>
      <w:lvlText w:val="-"/>
      <w:lvlJc w:val="left"/>
      <w:pPr>
        <w:ind w:left="720" w:hanging="360"/>
      </w:pPr>
      <w:rPr>
        <w:rFonts w:ascii="Calibri" w:eastAsia="MS Mincho" w:hAnsi="Calibri"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9728CD"/>
    <w:multiLevelType w:val="hybridMultilevel"/>
    <w:tmpl w:val="D376F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FC5E62"/>
    <w:multiLevelType w:val="hybridMultilevel"/>
    <w:tmpl w:val="19E01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931FFF"/>
    <w:multiLevelType w:val="hybridMultilevel"/>
    <w:tmpl w:val="5A1EB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974ADB"/>
    <w:multiLevelType w:val="hybridMultilevel"/>
    <w:tmpl w:val="EC503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4A183C"/>
    <w:multiLevelType w:val="hybridMultilevel"/>
    <w:tmpl w:val="5B5ADE50"/>
    <w:lvl w:ilvl="0" w:tplc="10F83AE8">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2E4EB4"/>
    <w:multiLevelType w:val="hybridMultilevel"/>
    <w:tmpl w:val="2342F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196451"/>
    <w:multiLevelType w:val="hybridMultilevel"/>
    <w:tmpl w:val="79CCF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E73175"/>
    <w:multiLevelType w:val="hybridMultilevel"/>
    <w:tmpl w:val="583A4220"/>
    <w:lvl w:ilvl="0" w:tplc="47C49F3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6C24BC"/>
    <w:multiLevelType w:val="hybridMultilevel"/>
    <w:tmpl w:val="14CAF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777474"/>
    <w:multiLevelType w:val="hybridMultilevel"/>
    <w:tmpl w:val="ADB80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B66B43"/>
    <w:multiLevelType w:val="hybridMultilevel"/>
    <w:tmpl w:val="8A32F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51358A"/>
    <w:multiLevelType w:val="hybridMultilevel"/>
    <w:tmpl w:val="70B2E9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3435EA"/>
    <w:multiLevelType w:val="hybridMultilevel"/>
    <w:tmpl w:val="17347E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C734D5"/>
    <w:multiLevelType w:val="hybridMultilevel"/>
    <w:tmpl w:val="21983A8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C57531"/>
    <w:multiLevelType w:val="hybridMultilevel"/>
    <w:tmpl w:val="3812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9535154">
    <w:abstractNumId w:val="0"/>
  </w:num>
  <w:num w:numId="2" w16cid:durableId="1708676757">
    <w:abstractNumId w:val="10"/>
  </w:num>
  <w:num w:numId="3" w16cid:durableId="304354433">
    <w:abstractNumId w:val="4"/>
  </w:num>
  <w:num w:numId="4" w16cid:durableId="1528985744">
    <w:abstractNumId w:val="7"/>
  </w:num>
  <w:num w:numId="5" w16cid:durableId="628433615">
    <w:abstractNumId w:val="14"/>
  </w:num>
  <w:num w:numId="6" w16cid:durableId="1765102660">
    <w:abstractNumId w:val="18"/>
  </w:num>
  <w:num w:numId="7" w16cid:durableId="777136759">
    <w:abstractNumId w:val="9"/>
  </w:num>
  <w:num w:numId="8" w16cid:durableId="1744595200">
    <w:abstractNumId w:val="8"/>
  </w:num>
  <w:num w:numId="9" w16cid:durableId="1357807226">
    <w:abstractNumId w:val="13"/>
  </w:num>
  <w:num w:numId="10" w16cid:durableId="1120610868">
    <w:abstractNumId w:val="3"/>
  </w:num>
  <w:num w:numId="11" w16cid:durableId="1276520851">
    <w:abstractNumId w:val="2"/>
  </w:num>
  <w:num w:numId="12" w16cid:durableId="1983927754">
    <w:abstractNumId w:val="16"/>
  </w:num>
  <w:num w:numId="13" w16cid:durableId="2131363364">
    <w:abstractNumId w:val="1"/>
  </w:num>
  <w:num w:numId="14" w16cid:durableId="618607551">
    <w:abstractNumId w:val="15"/>
  </w:num>
  <w:num w:numId="15" w16cid:durableId="752316466">
    <w:abstractNumId w:val="11"/>
  </w:num>
  <w:num w:numId="16" w16cid:durableId="843276551">
    <w:abstractNumId w:val="12"/>
  </w:num>
  <w:num w:numId="17" w16cid:durableId="772281987">
    <w:abstractNumId w:val="6"/>
  </w:num>
  <w:num w:numId="18" w16cid:durableId="513423187">
    <w:abstractNumId w:val="17"/>
  </w:num>
  <w:num w:numId="19" w16cid:durableId="1298872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defaultTabStop w:val="708"/>
  <w:hyphenationZone w:val="425"/>
  <w:characterSpacingControl w:val="doNotCompress"/>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7F"/>
    <w:rsid w:val="000000F0"/>
    <w:rsid w:val="00001F42"/>
    <w:rsid w:val="0002262F"/>
    <w:rsid w:val="00024138"/>
    <w:rsid w:val="000244C7"/>
    <w:rsid w:val="00032F55"/>
    <w:rsid w:val="00054816"/>
    <w:rsid w:val="00057393"/>
    <w:rsid w:val="00061269"/>
    <w:rsid w:val="00063687"/>
    <w:rsid w:val="00071B80"/>
    <w:rsid w:val="00074554"/>
    <w:rsid w:val="00080A3F"/>
    <w:rsid w:val="00091098"/>
    <w:rsid w:val="00091F70"/>
    <w:rsid w:val="000963D6"/>
    <w:rsid w:val="000A2739"/>
    <w:rsid w:val="000B169C"/>
    <w:rsid w:val="000B3DC4"/>
    <w:rsid w:val="000B7494"/>
    <w:rsid w:val="000C1056"/>
    <w:rsid w:val="000C3B05"/>
    <w:rsid w:val="000D2B59"/>
    <w:rsid w:val="000D3385"/>
    <w:rsid w:val="000D6371"/>
    <w:rsid w:val="001031E4"/>
    <w:rsid w:val="00103E32"/>
    <w:rsid w:val="0010633D"/>
    <w:rsid w:val="00107FCF"/>
    <w:rsid w:val="00120767"/>
    <w:rsid w:val="00121EE5"/>
    <w:rsid w:val="0013732E"/>
    <w:rsid w:val="001461C3"/>
    <w:rsid w:val="00152254"/>
    <w:rsid w:val="001546E6"/>
    <w:rsid w:val="0016444B"/>
    <w:rsid w:val="00165E04"/>
    <w:rsid w:val="00166839"/>
    <w:rsid w:val="00174597"/>
    <w:rsid w:val="00176DB5"/>
    <w:rsid w:val="00177148"/>
    <w:rsid w:val="001802A8"/>
    <w:rsid w:val="00181B0E"/>
    <w:rsid w:val="001871C3"/>
    <w:rsid w:val="001901B3"/>
    <w:rsid w:val="001C2830"/>
    <w:rsid w:val="001C4217"/>
    <w:rsid w:val="001C78CF"/>
    <w:rsid w:val="001C7F8C"/>
    <w:rsid w:val="001D0323"/>
    <w:rsid w:val="001D3AD1"/>
    <w:rsid w:val="001D75FD"/>
    <w:rsid w:val="001E32FB"/>
    <w:rsid w:val="001E3F4A"/>
    <w:rsid w:val="001E42D7"/>
    <w:rsid w:val="001E4457"/>
    <w:rsid w:val="001E775E"/>
    <w:rsid w:val="001F5606"/>
    <w:rsid w:val="001F607E"/>
    <w:rsid w:val="001F6492"/>
    <w:rsid w:val="002074CC"/>
    <w:rsid w:val="002130FF"/>
    <w:rsid w:val="00215C09"/>
    <w:rsid w:val="002214CD"/>
    <w:rsid w:val="002275BE"/>
    <w:rsid w:val="0023090A"/>
    <w:rsid w:val="00230F49"/>
    <w:rsid w:val="00232246"/>
    <w:rsid w:val="00235331"/>
    <w:rsid w:val="0023647C"/>
    <w:rsid w:val="00240AEC"/>
    <w:rsid w:val="002432DB"/>
    <w:rsid w:val="00244D47"/>
    <w:rsid w:val="0024594D"/>
    <w:rsid w:val="002529AF"/>
    <w:rsid w:val="0025379F"/>
    <w:rsid w:val="00255BD1"/>
    <w:rsid w:val="00255E35"/>
    <w:rsid w:val="00257A51"/>
    <w:rsid w:val="0026069D"/>
    <w:rsid w:val="00261CCB"/>
    <w:rsid w:val="00263C02"/>
    <w:rsid w:val="00265E4A"/>
    <w:rsid w:val="002718E0"/>
    <w:rsid w:val="00273E3F"/>
    <w:rsid w:val="00274B50"/>
    <w:rsid w:val="00280023"/>
    <w:rsid w:val="00285F85"/>
    <w:rsid w:val="00291E7F"/>
    <w:rsid w:val="0029242A"/>
    <w:rsid w:val="002940C4"/>
    <w:rsid w:val="00294571"/>
    <w:rsid w:val="002A38E4"/>
    <w:rsid w:val="002A4536"/>
    <w:rsid w:val="002D0F49"/>
    <w:rsid w:val="002D2D9D"/>
    <w:rsid w:val="002E6F6B"/>
    <w:rsid w:val="002F016F"/>
    <w:rsid w:val="002F1619"/>
    <w:rsid w:val="002F1F67"/>
    <w:rsid w:val="002F2201"/>
    <w:rsid w:val="003013BD"/>
    <w:rsid w:val="00302164"/>
    <w:rsid w:val="003049DF"/>
    <w:rsid w:val="003059F3"/>
    <w:rsid w:val="00311959"/>
    <w:rsid w:val="00311E5F"/>
    <w:rsid w:val="00314916"/>
    <w:rsid w:val="00316A68"/>
    <w:rsid w:val="003178AC"/>
    <w:rsid w:val="00321A9E"/>
    <w:rsid w:val="00321F92"/>
    <w:rsid w:val="00322485"/>
    <w:rsid w:val="00331BF6"/>
    <w:rsid w:val="00336672"/>
    <w:rsid w:val="00343F5B"/>
    <w:rsid w:val="003469A1"/>
    <w:rsid w:val="003472DF"/>
    <w:rsid w:val="0035207C"/>
    <w:rsid w:val="00353B6A"/>
    <w:rsid w:val="00355DFD"/>
    <w:rsid w:val="00355FFA"/>
    <w:rsid w:val="003575BE"/>
    <w:rsid w:val="00360D9A"/>
    <w:rsid w:val="003660CC"/>
    <w:rsid w:val="003818D3"/>
    <w:rsid w:val="00381AE3"/>
    <w:rsid w:val="003822AD"/>
    <w:rsid w:val="003851A4"/>
    <w:rsid w:val="003A482E"/>
    <w:rsid w:val="003B01CF"/>
    <w:rsid w:val="003B1606"/>
    <w:rsid w:val="003B2A45"/>
    <w:rsid w:val="003B2FDD"/>
    <w:rsid w:val="003B488F"/>
    <w:rsid w:val="003C2FAE"/>
    <w:rsid w:val="003C3E23"/>
    <w:rsid w:val="003C5F5C"/>
    <w:rsid w:val="003C7F19"/>
    <w:rsid w:val="003D6295"/>
    <w:rsid w:val="003E6F02"/>
    <w:rsid w:val="003F3424"/>
    <w:rsid w:val="003F470C"/>
    <w:rsid w:val="003F4A7F"/>
    <w:rsid w:val="004054D0"/>
    <w:rsid w:val="004075C7"/>
    <w:rsid w:val="00413623"/>
    <w:rsid w:val="00414F4A"/>
    <w:rsid w:val="00415626"/>
    <w:rsid w:val="00430770"/>
    <w:rsid w:val="00433BBD"/>
    <w:rsid w:val="004343ED"/>
    <w:rsid w:val="00435B75"/>
    <w:rsid w:val="00444549"/>
    <w:rsid w:val="0044510A"/>
    <w:rsid w:val="0044616C"/>
    <w:rsid w:val="00450DEC"/>
    <w:rsid w:val="00455FC3"/>
    <w:rsid w:val="0046165B"/>
    <w:rsid w:val="0046342C"/>
    <w:rsid w:val="004644EE"/>
    <w:rsid w:val="00465EAE"/>
    <w:rsid w:val="00467FF5"/>
    <w:rsid w:val="0047439E"/>
    <w:rsid w:val="00474491"/>
    <w:rsid w:val="00480C8D"/>
    <w:rsid w:val="00487868"/>
    <w:rsid w:val="00487A04"/>
    <w:rsid w:val="004A41BC"/>
    <w:rsid w:val="004B2F93"/>
    <w:rsid w:val="004C2098"/>
    <w:rsid w:val="004E6FBE"/>
    <w:rsid w:val="004F29CB"/>
    <w:rsid w:val="004F795B"/>
    <w:rsid w:val="0050104E"/>
    <w:rsid w:val="00501499"/>
    <w:rsid w:val="0051368B"/>
    <w:rsid w:val="00523FDD"/>
    <w:rsid w:val="00534F0E"/>
    <w:rsid w:val="0053763E"/>
    <w:rsid w:val="005401A3"/>
    <w:rsid w:val="00552791"/>
    <w:rsid w:val="005550B4"/>
    <w:rsid w:val="00562520"/>
    <w:rsid w:val="00563691"/>
    <w:rsid w:val="0056436A"/>
    <w:rsid w:val="00571430"/>
    <w:rsid w:val="00576CB2"/>
    <w:rsid w:val="00581DB3"/>
    <w:rsid w:val="0058363D"/>
    <w:rsid w:val="00591881"/>
    <w:rsid w:val="005B239C"/>
    <w:rsid w:val="005B4B83"/>
    <w:rsid w:val="005B7C94"/>
    <w:rsid w:val="005C00CD"/>
    <w:rsid w:val="005D702C"/>
    <w:rsid w:val="005E064F"/>
    <w:rsid w:val="005E56A7"/>
    <w:rsid w:val="005E5ED5"/>
    <w:rsid w:val="005E6D35"/>
    <w:rsid w:val="005F2827"/>
    <w:rsid w:val="005F4511"/>
    <w:rsid w:val="005F51CC"/>
    <w:rsid w:val="006007FB"/>
    <w:rsid w:val="00606436"/>
    <w:rsid w:val="00612C12"/>
    <w:rsid w:val="00621407"/>
    <w:rsid w:val="006227CF"/>
    <w:rsid w:val="0062399C"/>
    <w:rsid w:val="00626FB1"/>
    <w:rsid w:val="00627F91"/>
    <w:rsid w:val="00631C3A"/>
    <w:rsid w:val="006355D9"/>
    <w:rsid w:val="00645982"/>
    <w:rsid w:val="00646945"/>
    <w:rsid w:val="0065085F"/>
    <w:rsid w:val="00650CA1"/>
    <w:rsid w:val="00652A84"/>
    <w:rsid w:val="006531DC"/>
    <w:rsid w:val="006536CD"/>
    <w:rsid w:val="0066422C"/>
    <w:rsid w:val="0067560C"/>
    <w:rsid w:val="006836AF"/>
    <w:rsid w:val="00684930"/>
    <w:rsid w:val="00687553"/>
    <w:rsid w:val="006A620F"/>
    <w:rsid w:val="006B4E7B"/>
    <w:rsid w:val="006C337C"/>
    <w:rsid w:val="006C5CEC"/>
    <w:rsid w:val="006D4BD2"/>
    <w:rsid w:val="006D6113"/>
    <w:rsid w:val="006E2E6C"/>
    <w:rsid w:val="006E3609"/>
    <w:rsid w:val="006E4044"/>
    <w:rsid w:val="006F0385"/>
    <w:rsid w:val="00703161"/>
    <w:rsid w:val="00716215"/>
    <w:rsid w:val="00722FEB"/>
    <w:rsid w:val="0072745D"/>
    <w:rsid w:val="007310CB"/>
    <w:rsid w:val="007331E6"/>
    <w:rsid w:val="007404DF"/>
    <w:rsid w:val="00742C7D"/>
    <w:rsid w:val="00747067"/>
    <w:rsid w:val="00747600"/>
    <w:rsid w:val="00750D94"/>
    <w:rsid w:val="00751C91"/>
    <w:rsid w:val="00752B2C"/>
    <w:rsid w:val="0076775D"/>
    <w:rsid w:val="0077044A"/>
    <w:rsid w:val="007722D3"/>
    <w:rsid w:val="00780259"/>
    <w:rsid w:val="007817A8"/>
    <w:rsid w:val="007827B2"/>
    <w:rsid w:val="007867B7"/>
    <w:rsid w:val="00796DCA"/>
    <w:rsid w:val="00797540"/>
    <w:rsid w:val="00797ECB"/>
    <w:rsid w:val="007A01CC"/>
    <w:rsid w:val="007A0CFB"/>
    <w:rsid w:val="007A5064"/>
    <w:rsid w:val="007B294D"/>
    <w:rsid w:val="007B2BCB"/>
    <w:rsid w:val="007B3485"/>
    <w:rsid w:val="007B715C"/>
    <w:rsid w:val="007C00FA"/>
    <w:rsid w:val="007C6CC3"/>
    <w:rsid w:val="007D47CF"/>
    <w:rsid w:val="007D4AC5"/>
    <w:rsid w:val="007D7894"/>
    <w:rsid w:val="007E2664"/>
    <w:rsid w:val="00810832"/>
    <w:rsid w:val="00820469"/>
    <w:rsid w:val="00820FA7"/>
    <w:rsid w:val="00823555"/>
    <w:rsid w:val="00823C35"/>
    <w:rsid w:val="008246B8"/>
    <w:rsid w:val="0083111A"/>
    <w:rsid w:val="0083421D"/>
    <w:rsid w:val="00841EC5"/>
    <w:rsid w:val="00843DA0"/>
    <w:rsid w:val="00845D17"/>
    <w:rsid w:val="00851743"/>
    <w:rsid w:val="0085189B"/>
    <w:rsid w:val="00851F7E"/>
    <w:rsid w:val="0085262E"/>
    <w:rsid w:val="00865BA1"/>
    <w:rsid w:val="008700FC"/>
    <w:rsid w:val="00873BF3"/>
    <w:rsid w:val="00877011"/>
    <w:rsid w:val="00880BE8"/>
    <w:rsid w:val="00882429"/>
    <w:rsid w:val="00887044"/>
    <w:rsid w:val="008872B9"/>
    <w:rsid w:val="008A00D8"/>
    <w:rsid w:val="008A1097"/>
    <w:rsid w:val="008A4C71"/>
    <w:rsid w:val="008B7B99"/>
    <w:rsid w:val="008C0640"/>
    <w:rsid w:val="008C6B3A"/>
    <w:rsid w:val="008D3F73"/>
    <w:rsid w:val="008D7C77"/>
    <w:rsid w:val="008E2D8A"/>
    <w:rsid w:val="008E4C84"/>
    <w:rsid w:val="008E5765"/>
    <w:rsid w:val="008F03F7"/>
    <w:rsid w:val="008F298C"/>
    <w:rsid w:val="00903FC7"/>
    <w:rsid w:val="009064E4"/>
    <w:rsid w:val="009136BE"/>
    <w:rsid w:val="0092227D"/>
    <w:rsid w:val="009279F8"/>
    <w:rsid w:val="00936F5A"/>
    <w:rsid w:val="009447EB"/>
    <w:rsid w:val="009512D8"/>
    <w:rsid w:val="0095692E"/>
    <w:rsid w:val="00957332"/>
    <w:rsid w:val="00970571"/>
    <w:rsid w:val="009707B3"/>
    <w:rsid w:val="00970DE4"/>
    <w:rsid w:val="0097776C"/>
    <w:rsid w:val="00985175"/>
    <w:rsid w:val="00990070"/>
    <w:rsid w:val="00996EA0"/>
    <w:rsid w:val="009A2E4B"/>
    <w:rsid w:val="009A4E1F"/>
    <w:rsid w:val="009A79CB"/>
    <w:rsid w:val="009C4351"/>
    <w:rsid w:val="009D48FA"/>
    <w:rsid w:val="009D5C80"/>
    <w:rsid w:val="009E2EB8"/>
    <w:rsid w:val="009E317D"/>
    <w:rsid w:val="009E4014"/>
    <w:rsid w:val="009F454A"/>
    <w:rsid w:val="009F456B"/>
    <w:rsid w:val="009F6505"/>
    <w:rsid w:val="00A00615"/>
    <w:rsid w:val="00A059AF"/>
    <w:rsid w:val="00A169E1"/>
    <w:rsid w:val="00A210AE"/>
    <w:rsid w:val="00A23910"/>
    <w:rsid w:val="00A3088F"/>
    <w:rsid w:val="00A3096A"/>
    <w:rsid w:val="00A3132E"/>
    <w:rsid w:val="00A32841"/>
    <w:rsid w:val="00A32B46"/>
    <w:rsid w:val="00A34926"/>
    <w:rsid w:val="00A360E2"/>
    <w:rsid w:val="00A45307"/>
    <w:rsid w:val="00A464FE"/>
    <w:rsid w:val="00A50626"/>
    <w:rsid w:val="00A5494F"/>
    <w:rsid w:val="00A62B87"/>
    <w:rsid w:val="00A64E6E"/>
    <w:rsid w:val="00A6633C"/>
    <w:rsid w:val="00A67619"/>
    <w:rsid w:val="00A73DE3"/>
    <w:rsid w:val="00A7572D"/>
    <w:rsid w:val="00A77758"/>
    <w:rsid w:val="00A83D63"/>
    <w:rsid w:val="00A87E06"/>
    <w:rsid w:val="00A92C10"/>
    <w:rsid w:val="00AB48FB"/>
    <w:rsid w:val="00AB6AE8"/>
    <w:rsid w:val="00AD15F3"/>
    <w:rsid w:val="00AD3A60"/>
    <w:rsid w:val="00AE5E0B"/>
    <w:rsid w:val="00AE622E"/>
    <w:rsid w:val="00AF0DFE"/>
    <w:rsid w:val="00AF65B4"/>
    <w:rsid w:val="00B06513"/>
    <w:rsid w:val="00B13117"/>
    <w:rsid w:val="00B16598"/>
    <w:rsid w:val="00B3142A"/>
    <w:rsid w:val="00B333EA"/>
    <w:rsid w:val="00B35524"/>
    <w:rsid w:val="00B60FB4"/>
    <w:rsid w:val="00B6123F"/>
    <w:rsid w:val="00B62E53"/>
    <w:rsid w:val="00B66322"/>
    <w:rsid w:val="00B73628"/>
    <w:rsid w:val="00B74450"/>
    <w:rsid w:val="00B74983"/>
    <w:rsid w:val="00B771E1"/>
    <w:rsid w:val="00B8213D"/>
    <w:rsid w:val="00B823B8"/>
    <w:rsid w:val="00B90386"/>
    <w:rsid w:val="00B90FE8"/>
    <w:rsid w:val="00B97F35"/>
    <w:rsid w:val="00BA3F3A"/>
    <w:rsid w:val="00BA771E"/>
    <w:rsid w:val="00BB4526"/>
    <w:rsid w:val="00BC09E7"/>
    <w:rsid w:val="00BD2841"/>
    <w:rsid w:val="00BD612B"/>
    <w:rsid w:val="00BE2EB5"/>
    <w:rsid w:val="00BE3DF0"/>
    <w:rsid w:val="00BE45EE"/>
    <w:rsid w:val="00BF0C10"/>
    <w:rsid w:val="00BF262F"/>
    <w:rsid w:val="00BF7EBE"/>
    <w:rsid w:val="00C0359A"/>
    <w:rsid w:val="00C060EF"/>
    <w:rsid w:val="00C20217"/>
    <w:rsid w:val="00C23322"/>
    <w:rsid w:val="00C3262A"/>
    <w:rsid w:val="00C33F70"/>
    <w:rsid w:val="00C433FC"/>
    <w:rsid w:val="00C560D1"/>
    <w:rsid w:val="00C57BE0"/>
    <w:rsid w:val="00C62F24"/>
    <w:rsid w:val="00C63128"/>
    <w:rsid w:val="00C63B7F"/>
    <w:rsid w:val="00C669A8"/>
    <w:rsid w:val="00C74A41"/>
    <w:rsid w:val="00C760AF"/>
    <w:rsid w:val="00C76D33"/>
    <w:rsid w:val="00C809E7"/>
    <w:rsid w:val="00C83443"/>
    <w:rsid w:val="00C9097A"/>
    <w:rsid w:val="00C93137"/>
    <w:rsid w:val="00C942A8"/>
    <w:rsid w:val="00CA04A1"/>
    <w:rsid w:val="00CB3AFE"/>
    <w:rsid w:val="00CC41CD"/>
    <w:rsid w:val="00CC78F3"/>
    <w:rsid w:val="00CD60D7"/>
    <w:rsid w:val="00CE565A"/>
    <w:rsid w:val="00CF1E05"/>
    <w:rsid w:val="00CF2308"/>
    <w:rsid w:val="00D113B2"/>
    <w:rsid w:val="00D13029"/>
    <w:rsid w:val="00D167B6"/>
    <w:rsid w:val="00D24287"/>
    <w:rsid w:val="00D253BC"/>
    <w:rsid w:val="00D33A7A"/>
    <w:rsid w:val="00D3573A"/>
    <w:rsid w:val="00D36287"/>
    <w:rsid w:val="00D36899"/>
    <w:rsid w:val="00D43764"/>
    <w:rsid w:val="00D44E3C"/>
    <w:rsid w:val="00D502F1"/>
    <w:rsid w:val="00D61DE5"/>
    <w:rsid w:val="00D63F84"/>
    <w:rsid w:val="00D645B8"/>
    <w:rsid w:val="00D7157A"/>
    <w:rsid w:val="00D74474"/>
    <w:rsid w:val="00D813B9"/>
    <w:rsid w:val="00D814D1"/>
    <w:rsid w:val="00D9101D"/>
    <w:rsid w:val="00D9379A"/>
    <w:rsid w:val="00D97390"/>
    <w:rsid w:val="00DA2426"/>
    <w:rsid w:val="00DA5FDB"/>
    <w:rsid w:val="00DA72BB"/>
    <w:rsid w:val="00DB7234"/>
    <w:rsid w:val="00DC55A5"/>
    <w:rsid w:val="00DC5612"/>
    <w:rsid w:val="00DC6DFD"/>
    <w:rsid w:val="00DC7D2E"/>
    <w:rsid w:val="00DD037F"/>
    <w:rsid w:val="00DD615F"/>
    <w:rsid w:val="00DF00DF"/>
    <w:rsid w:val="00DF2D14"/>
    <w:rsid w:val="00DF34BB"/>
    <w:rsid w:val="00E028A8"/>
    <w:rsid w:val="00E043F7"/>
    <w:rsid w:val="00E0577D"/>
    <w:rsid w:val="00E079AD"/>
    <w:rsid w:val="00E23ED4"/>
    <w:rsid w:val="00E27E58"/>
    <w:rsid w:val="00E349D2"/>
    <w:rsid w:val="00E40FD7"/>
    <w:rsid w:val="00E41B72"/>
    <w:rsid w:val="00E45C91"/>
    <w:rsid w:val="00E51E7B"/>
    <w:rsid w:val="00E5484B"/>
    <w:rsid w:val="00E61D34"/>
    <w:rsid w:val="00E676A4"/>
    <w:rsid w:val="00E85927"/>
    <w:rsid w:val="00E87F36"/>
    <w:rsid w:val="00E92A0B"/>
    <w:rsid w:val="00EA0F33"/>
    <w:rsid w:val="00EB2E05"/>
    <w:rsid w:val="00EC1DDD"/>
    <w:rsid w:val="00EE0528"/>
    <w:rsid w:val="00EE5D7D"/>
    <w:rsid w:val="00EF08D7"/>
    <w:rsid w:val="00EF09A2"/>
    <w:rsid w:val="00EF0E29"/>
    <w:rsid w:val="00EF2C81"/>
    <w:rsid w:val="00F04644"/>
    <w:rsid w:val="00F21CE2"/>
    <w:rsid w:val="00F231F9"/>
    <w:rsid w:val="00F272F1"/>
    <w:rsid w:val="00F27945"/>
    <w:rsid w:val="00F309CC"/>
    <w:rsid w:val="00F31E33"/>
    <w:rsid w:val="00F337CD"/>
    <w:rsid w:val="00F37A5E"/>
    <w:rsid w:val="00F40F90"/>
    <w:rsid w:val="00F546DF"/>
    <w:rsid w:val="00F56607"/>
    <w:rsid w:val="00F6476B"/>
    <w:rsid w:val="00F74A22"/>
    <w:rsid w:val="00F81CE8"/>
    <w:rsid w:val="00F827FB"/>
    <w:rsid w:val="00F84C49"/>
    <w:rsid w:val="00F90A0E"/>
    <w:rsid w:val="00F920F0"/>
    <w:rsid w:val="00F97BE4"/>
    <w:rsid w:val="00FA22C9"/>
    <w:rsid w:val="00FA2698"/>
    <w:rsid w:val="00FA3B24"/>
    <w:rsid w:val="00FA444F"/>
    <w:rsid w:val="00FB1B61"/>
    <w:rsid w:val="00FB4EF2"/>
    <w:rsid w:val="00FB5A2E"/>
    <w:rsid w:val="00FB70DB"/>
    <w:rsid w:val="00FB73B4"/>
    <w:rsid w:val="00FC2C6C"/>
    <w:rsid w:val="00FC3D41"/>
    <w:rsid w:val="00FC7692"/>
    <w:rsid w:val="00FD19BD"/>
    <w:rsid w:val="00FD305F"/>
    <w:rsid w:val="00FD609B"/>
    <w:rsid w:val="00FE1878"/>
    <w:rsid w:val="00FE3537"/>
    <w:rsid w:val="00FF0DBD"/>
    <w:rsid w:val="00FF3061"/>
    <w:rsid w:val="00FF3D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6488E569"/>
  <w15:docId w15:val="{A570040A-532D-4272-B100-38093E10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4491"/>
    <w:rPr>
      <w:rFonts w:cs="Verdan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359A"/>
    <w:pPr>
      <w:tabs>
        <w:tab w:val="center" w:pos="4536"/>
        <w:tab w:val="right" w:pos="9072"/>
      </w:tabs>
    </w:pPr>
    <w:rPr>
      <w:rFonts w:cstheme="minorBidi"/>
      <w:sz w:val="24"/>
      <w:szCs w:val="24"/>
    </w:rPr>
  </w:style>
  <w:style w:type="character" w:customStyle="1" w:styleId="KopfzeileZchn">
    <w:name w:val="Kopfzeile Zchn"/>
    <w:basedOn w:val="Absatz-Standardschriftart"/>
    <w:link w:val="Kopfzeile"/>
    <w:uiPriority w:val="99"/>
    <w:rsid w:val="00C0359A"/>
  </w:style>
  <w:style w:type="paragraph" w:styleId="Fuzeile">
    <w:name w:val="footer"/>
    <w:basedOn w:val="Standard"/>
    <w:link w:val="FuzeileZchn"/>
    <w:uiPriority w:val="99"/>
    <w:unhideWhenUsed/>
    <w:rsid w:val="00C0359A"/>
    <w:pPr>
      <w:tabs>
        <w:tab w:val="center" w:pos="4536"/>
        <w:tab w:val="right" w:pos="9072"/>
      </w:tabs>
    </w:pPr>
    <w:rPr>
      <w:rFonts w:cstheme="minorBidi"/>
      <w:sz w:val="24"/>
      <w:szCs w:val="24"/>
    </w:rPr>
  </w:style>
  <w:style w:type="character" w:customStyle="1" w:styleId="FuzeileZchn">
    <w:name w:val="Fußzeile Zchn"/>
    <w:basedOn w:val="Absatz-Standardschriftart"/>
    <w:link w:val="Fuzeile"/>
    <w:uiPriority w:val="99"/>
    <w:rsid w:val="00C0359A"/>
  </w:style>
  <w:style w:type="paragraph" w:styleId="KeinLeerraum">
    <w:name w:val="No Spacing"/>
    <w:uiPriority w:val="1"/>
    <w:qFormat/>
    <w:rsid w:val="003F4A7F"/>
    <w:rPr>
      <w:rFonts w:ascii="Calibri" w:eastAsia="Calibri" w:hAnsi="Calibri"/>
      <w:sz w:val="22"/>
      <w:szCs w:val="22"/>
    </w:rPr>
  </w:style>
  <w:style w:type="paragraph" w:styleId="Listenabsatz">
    <w:name w:val="List Paragraph"/>
    <w:basedOn w:val="Standard"/>
    <w:uiPriority w:val="34"/>
    <w:qFormat/>
    <w:rsid w:val="00985175"/>
    <w:pPr>
      <w:ind w:left="720"/>
      <w:contextualSpacing/>
    </w:pPr>
  </w:style>
  <w:style w:type="paragraph" w:styleId="Sprechblasentext">
    <w:name w:val="Balloon Text"/>
    <w:basedOn w:val="Standard"/>
    <w:link w:val="SprechblasentextZchn"/>
    <w:uiPriority w:val="99"/>
    <w:semiHidden/>
    <w:unhideWhenUsed/>
    <w:rsid w:val="00C942A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42A8"/>
    <w:rPr>
      <w:rFonts w:ascii="Segoe UI" w:hAnsi="Segoe UI" w:cs="Segoe UI"/>
      <w:sz w:val="18"/>
      <w:szCs w:val="18"/>
    </w:rPr>
  </w:style>
  <w:style w:type="character" w:styleId="Kommentarzeichen">
    <w:name w:val="annotation reference"/>
    <w:basedOn w:val="Absatz-Standardschriftart"/>
    <w:uiPriority w:val="99"/>
    <w:semiHidden/>
    <w:unhideWhenUsed/>
    <w:rsid w:val="009F456B"/>
    <w:rPr>
      <w:sz w:val="16"/>
      <w:szCs w:val="16"/>
    </w:rPr>
  </w:style>
  <w:style w:type="paragraph" w:styleId="Kommentartext">
    <w:name w:val="annotation text"/>
    <w:basedOn w:val="Standard"/>
    <w:link w:val="KommentartextZchn"/>
    <w:uiPriority w:val="99"/>
    <w:semiHidden/>
    <w:unhideWhenUsed/>
    <w:rsid w:val="009F456B"/>
    <w:rPr>
      <w:sz w:val="20"/>
      <w:szCs w:val="20"/>
    </w:rPr>
  </w:style>
  <w:style w:type="character" w:customStyle="1" w:styleId="KommentartextZchn">
    <w:name w:val="Kommentartext Zchn"/>
    <w:basedOn w:val="Absatz-Standardschriftart"/>
    <w:link w:val="Kommentartext"/>
    <w:uiPriority w:val="99"/>
    <w:semiHidden/>
    <w:rsid w:val="009F456B"/>
    <w:rPr>
      <w:rFonts w:cs="Verdana"/>
      <w:sz w:val="20"/>
      <w:szCs w:val="20"/>
    </w:rPr>
  </w:style>
  <w:style w:type="paragraph" w:styleId="Kommentarthema">
    <w:name w:val="annotation subject"/>
    <w:basedOn w:val="Kommentartext"/>
    <w:next w:val="Kommentartext"/>
    <w:link w:val="KommentarthemaZchn"/>
    <w:uiPriority w:val="99"/>
    <w:semiHidden/>
    <w:unhideWhenUsed/>
    <w:rsid w:val="009F456B"/>
    <w:rPr>
      <w:b/>
      <w:bCs/>
    </w:rPr>
  </w:style>
  <w:style w:type="character" w:customStyle="1" w:styleId="KommentarthemaZchn">
    <w:name w:val="Kommentarthema Zchn"/>
    <w:basedOn w:val="KommentartextZchn"/>
    <w:link w:val="Kommentarthema"/>
    <w:uiPriority w:val="99"/>
    <w:semiHidden/>
    <w:rsid w:val="009F456B"/>
    <w:rPr>
      <w:rFonts w:cs="Verdana"/>
      <w:b/>
      <w:bCs/>
      <w:sz w:val="20"/>
      <w:szCs w:val="20"/>
    </w:rPr>
  </w:style>
  <w:style w:type="paragraph" w:styleId="StandardWeb">
    <w:name w:val="Normal (Web)"/>
    <w:basedOn w:val="Standard"/>
    <w:uiPriority w:val="99"/>
    <w:semiHidden/>
    <w:unhideWhenUsed/>
    <w:rsid w:val="003A482E"/>
    <w:pPr>
      <w:spacing w:before="100" w:beforeAutospacing="1" w:after="100" w:afterAutospacing="1"/>
    </w:pPr>
    <w:rPr>
      <w:rFonts w:ascii="Times New Roman" w:eastAsia="Times New Roman" w:hAnsi="Times New Roman" w:cs="Times New Roman"/>
      <w:sz w:val="24"/>
      <w:szCs w:val="24"/>
      <w:lang w:val="de-DE" w:eastAsia="de-DE"/>
    </w:rPr>
  </w:style>
  <w:style w:type="paragraph" w:styleId="berarbeitung">
    <w:name w:val="Revision"/>
    <w:hidden/>
    <w:uiPriority w:val="99"/>
    <w:semiHidden/>
    <w:rsid w:val="00F97BE4"/>
    <w:rPr>
      <w:rFonts w:cs="Verdana"/>
      <w:sz w:val="22"/>
      <w:szCs w:val="22"/>
    </w:rPr>
  </w:style>
  <w:style w:type="character" w:styleId="Hyperlink">
    <w:name w:val="Hyperlink"/>
    <w:basedOn w:val="Absatz-Standardschriftart"/>
    <w:uiPriority w:val="99"/>
    <w:semiHidden/>
    <w:unhideWhenUsed/>
    <w:rsid w:val="004743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5086">
      <w:bodyDiv w:val="1"/>
      <w:marLeft w:val="0"/>
      <w:marRight w:val="0"/>
      <w:marTop w:val="0"/>
      <w:marBottom w:val="0"/>
      <w:divBdr>
        <w:top w:val="none" w:sz="0" w:space="0" w:color="auto"/>
        <w:left w:val="none" w:sz="0" w:space="0" w:color="auto"/>
        <w:bottom w:val="none" w:sz="0" w:space="0" w:color="auto"/>
        <w:right w:val="none" w:sz="0" w:space="0" w:color="auto"/>
      </w:divBdr>
    </w:div>
    <w:div w:id="510266315">
      <w:bodyDiv w:val="1"/>
      <w:marLeft w:val="0"/>
      <w:marRight w:val="0"/>
      <w:marTop w:val="0"/>
      <w:marBottom w:val="0"/>
      <w:divBdr>
        <w:top w:val="none" w:sz="0" w:space="0" w:color="auto"/>
        <w:left w:val="none" w:sz="0" w:space="0" w:color="auto"/>
        <w:bottom w:val="none" w:sz="0" w:space="0" w:color="auto"/>
        <w:right w:val="none" w:sz="0" w:space="0" w:color="auto"/>
      </w:divBdr>
    </w:div>
    <w:div w:id="1514758488">
      <w:bodyDiv w:val="1"/>
      <w:marLeft w:val="0"/>
      <w:marRight w:val="0"/>
      <w:marTop w:val="0"/>
      <w:marBottom w:val="0"/>
      <w:divBdr>
        <w:top w:val="none" w:sz="0" w:space="0" w:color="auto"/>
        <w:left w:val="none" w:sz="0" w:space="0" w:color="auto"/>
        <w:bottom w:val="none" w:sz="0" w:space="0" w:color="auto"/>
        <w:right w:val="none" w:sz="0" w:space="0" w:color="auto"/>
      </w:divBdr>
      <w:divsChild>
        <w:div w:id="559899971">
          <w:marLeft w:val="0"/>
          <w:marRight w:val="0"/>
          <w:marTop w:val="0"/>
          <w:marBottom w:val="0"/>
          <w:divBdr>
            <w:top w:val="none" w:sz="0" w:space="0" w:color="auto"/>
            <w:left w:val="none" w:sz="0" w:space="0" w:color="auto"/>
            <w:bottom w:val="none" w:sz="0" w:space="0" w:color="auto"/>
            <w:right w:val="none" w:sz="0" w:space="0" w:color="auto"/>
          </w:divBdr>
        </w:div>
      </w:divsChild>
    </w:div>
    <w:div w:id="1838109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5" Type="http://schemas.openxmlformats.org/officeDocument/2006/relationships/image" Target="media/image6.emf"/><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5" Type="http://schemas.openxmlformats.org/officeDocument/2006/relationships/image" Target="media/image6.emf"/><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cha\Dropbox\2017%20pressGATE\DMG%20MORI%20Vorlagen\PM%20Vorlage%20UK%202017.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648EB-BE1D-42E9-B234-27BF7EBE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Vorlage UK 2017.dotx</Template>
  <TotalTime>0</TotalTime>
  <Pages>2</Pages>
  <Words>339</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D.</dc:creator>
  <cp:keywords/>
  <dc:description/>
  <cp:lastModifiedBy>Manzenreiter Eva</cp:lastModifiedBy>
  <cp:revision>5</cp:revision>
  <cp:lastPrinted>2020-09-29T12:01:00Z</cp:lastPrinted>
  <dcterms:created xsi:type="dcterms:W3CDTF">2022-12-20T09:19:00Z</dcterms:created>
  <dcterms:modified xsi:type="dcterms:W3CDTF">2023-01-17T08:00:00Z</dcterms:modified>
</cp:coreProperties>
</file>